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3DA5B2" w14:textId="77777777" w:rsidR="00474014" w:rsidRPr="005C3BF1" w:rsidRDefault="00474014" w:rsidP="00474014">
      <w:pPr>
        <w:spacing w:after="157"/>
        <w:rPr>
          <w:b/>
        </w:rPr>
      </w:pPr>
      <w:r w:rsidRPr="005C3BF1">
        <w:rPr>
          <w:b/>
        </w:rPr>
        <w:t>Załącznik nr 3.2  do SWZ – Opis przedmiotu zamówienia CZEŚĆ II</w:t>
      </w:r>
    </w:p>
    <w:p w14:paraId="7E0A98EB" w14:textId="77777777" w:rsidR="00474014" w:rsidRPr="003E4168" w:rsidRDefault="00474014" w:rsidP="00474014">
      <w:pPr>
        <w:pStyle w:val="Styl"/>
        <w:spacing w:line="312" w:lineRule="auto"/>
        <w:ind w:right="1473"/>
        <w:rPr>
          <w:rFonts w:ascii="Times New Roman" w:hAnsi="Times New Roman" w:cs="Times New Roman"/>
          <w:b/>
          <w:bCs/>
          <w:color w:val="000000" w:themeColor="text1"/>
          <w:w w:val="106"/>
        </w:rPr>
      </w:pPr>
      <w:r w:rsidRPr="003E4168">
        <w:rPr>
          <w:rFonts w:ascii="Times New Roman" w:hAnsi="Times New Roman" w:cs="Times New Roman"/>
          <w:b/>
          <w:bCs/>
          <w:color w:val="000000" w:themeColor="text1"/>
          <w:w w:val="106"/>
        </w:rPr>
        <w:t>Nr sprawy:</w:t>
      </w:r>
      <w:r w:rsidRPr="003E4168">
        <w:rPr>
          <w:rFonts w:ascii="Times New Roman" w:hAnsi="Times New Roman" w:cs="Times New Roman"/>
          <w:b/>
          <w:bCs/>
          <w:color w:val="000000" w:themeColor="text1"/>
          <w:w w:val="106"/>
        </w:rPr>
        <w:tab/>
      </w:r>
      <w:r>
        <w:rPr>
          <w:rFonts w:ascii="Times New Roman" w:hAnsi="Times New Roman" w:cs="Times New Roman"/>
          <w:b/>
          <w:bCs/>
          <w:color w:val="000000" w:themeColor="text1"/>
          <w:w w:val="106"/>
        </w:rPr>
        <w:t>SZP.250.19.2025</w:t>
      </w:r>
    </w:p>
    <w:p w14:paraId="779967DA" w14:textId="77777777" w:rsidR="00474014" w:rsidRDefault="00474014" w:rsidP="00474014">
      <w:pPr>
        <w:spacing w:after="157"/>
        <w:jc w:val="center"/>
        <w:rPr>
          <w:b/>
        </w:rPr>
      </w:pPr>
    </w:p>
    <w:p w14:paraId="53321965" w14:textId="77777777" w:rsidR="00474014" w:rsidRPr="005C3BF1" w:rsidRDefault="00474014" w:rsidP="00474014">
      <w:pPr>
        <w:spacing w:after="157"/>
        <w:jc w:val="center"/>
        <w:rPr>
          <w:b/>
        </w:rPr>
      </w:pPr>
      <w:r>
        <w:rPr>
          <w:b/>
        </w:rPr>
        <w:t>OPIS PRZEDMIOTU ZAMÓWIENIA</w:t>
      </w:r>
    </w:p>
    <w:p w14:paraId="440513A1" w14:textId="77777777" w:rsidR="00474014" w:rsidRPr="005C3BF1" w:rsidRDefault="00474014" w:rsidP="00474014">
      <w:pPr>
        <w:spacing w:after="157"/>
        <w:jc w:val="center"/>
        <w:rPr>
          <w:b/>
        </w:rPr>
      </w:pPr>
      <w:r w:rsidRPr="005C3BF1">
        <w:rPr>
          <w:b/>
        </w:rPr>
        <w:t>Mycie okien w budynkach</w:t>
      </w:r>
      <w:r>
        <w:rPr>
          <w:b/>
        </w:rPr>
        <w:t xml:space="preserve">  Nr</w:t>
      </w:r>
      <w:r w:rsidRPr="005C3BF1">
        <w:rPr>
          <w:b/>
        </w:rPr>
        <w:t xml:space="preserve">   9, 16, 17, 18, 19, 20, 21, 33, 34, 49, 51, 5</w:t>
      </w:r>
      <w:r>
        <w:rPr>
          <w:b/>
        </w:rPr>
        <w:t>2</w:t>
      </w:r>
    </w:p>
    <w:p w14:paraId="11CEDC76" w14:textId="77777777" w:rsidR="00474014" w:rsidRPr="005C3BF1" w:rsidRDefault="00474014" w:rsidP="00474014">
      <w:pPr>
        <w:spacing w:after="238"/>
        <w:rPr>
          <w:b/>
        </w:rPr>
      </w:pPr>
      <w:r w:rsidRPr="005C3BF1">
        <w:rPr>
          <w:b/>
        </w:rPr>
        <w:t>W ramach zamówienia przedmiot usługi obejmować będzie:</w:t>
      </w:r>
    </w:p>
    <w:p w14:paraId="47EC4D98" w14:textId="77777777" w:rsidR="00474014" w:rsidRPr="005C3BF1" w:rsidRDefault="00474014" w:rsidP="00474014">
      <w:pPr>
        <w:numPr>
          <w:ilvl w:val="1"/>
          <w:numId w:val="1"/>
        </w:numPr>
        <w:spacing w:after="56" w:line="251" w:lineRule="auto"/>
        <w:ind w:hanging="360"/>
        <w:jc w:val="both"/>
      </w:pPr>
      <w:r w:rsidRPr="005C3BF1">
        <w:t>Obustronne mycie ram okiennych i okuć, powierzchnia okien do mycia 15 900 m</w:t>
      </w:r>
      <w:r w:rsidRPr="005C3BF1">
        <w:rPr>
          <w:vertAlign w:val="superscript"/>
        </w:rPr>
        <w:t>2</w:t>
      </w:r>
      <w:r w:rsidRPr="005C3BF1">
        <w:t>,</w:t>
      </w:r>
    </w:p>
    <w:p w14:paraId="4F6998EF" w14:textId="77777777" w:rsidR="00474014" w:rsidRPr="005C3BF1" w:rsidRDefault="00474014" w:rsidP="00474014">
      <w:pPr>
        <w:numPr>
          <w:ilvl w:val="1"/>
          <w:numId w:val="1"/>
        </w:numPr>
        <w:spacing w:after="56" w:line="251" w:lineRule="auto"/>
        <w:ind w:hanging="360"/>
        <w:jc w:val="both"/>
      </w:pPr>
      <w:r w:rsidRPr="005C3BF1">
        <w:t xml:space="preserve"> Mycie powierzchni szklanych zewnętrznych i wewnętrznie</w:t>
      </w:r>
    </w:p>
    <w:p w14:paraId="211CE510" w14:textId="77777777" w:rsidR="00474014" w:rsidRPr="005C3BF1" w:rsidRDefault="00474014" w:rsidP="00474014">
      <w:pPr>
        <w:numPr>
          <w:ilvl w:val="1"/>
          <w:numId w:val="1"/>
        </w:numPr>
        <w:spacing w:after="56" w:line="251" w:lineRule="auto"/>
        <w:ind w:hanging="360"/>
        <w:jc w:val="both"/>
      </w:pPr>
      <w:r w:rsidRPr="005C3BF1">
        <w:t>Mycie parapetów okiennych zewnętrznych i wewnętrznych</w:t>
      </w:r>
    </w:p>
    <w:p w14:paraId="6C8C614A" w14:textId="77777777" w:rsidR="00474014" w:rsidRPr="005C3BF1" w:rsidRDefault="00474014" w:rsidP="00474014">
      <w:pPr>
        <w:numPr>
          <w:ilvl w:val="1"/>
          <w:numId w:val="1"/>
        </w:numPr>
        <w:spacing w:after="81" w:line="251" w:lineRule="auto"/>
        <w:ind w:hanging="360"/>
        <w:jc w:val="both"/>
      </w:pPr>
      <w:r>
        <w:t>Zamawiający wymaga od wykonawcy u</w:t>
      </w:r>
      <w:r w:rsidRPr="005C3BF1">
        <w:t>życi</w:t>
      </w:r>
      <w:r>
        <w:t>a</w:t>
      </w:r>
      <w:r w:rsidRPr="005C3BF1">
        <w:t xml:space="preserve"> środków ekologicznych.</w:t>
      </w:r>
    </w:p>
    <w:p w14:paraId="607D42DA" w14:textId="77777777" w:rsidR="00474014" w:rsidRPr="005C3BF1" w:rsidRDefault="00474014" w:rsidP="00474014">
      <w:pPr>
        <w:numPr>
          <w:ilvl w:val="1"/>
          <w:numId w:val="1"/>
        </w:numPr>
        <w:spacing w:after="81" w:line="251" w:lineRule="auto"/>
        <w:ind w:hanging="360"/>
        <w:jc w:val="both"/>
      </w:pPr>
      <w:r w:rsidRPr="005C3BF1">
        <w:t>Wymogiem formalnym jest, żeby firma myjąca okna używała własnych środków myjących nie zawierających substancji mogących doprowadzić do zarysowań, przebarwień lub uszkodzeń ram okiennych, powierzchni szklanych, parapetów lub okuć, odpowiednich do mytych powierzchni, dopuszczonych do obrotu oraz własnego sprzętu.</w:t>
      </w:r>
    </w:p>
    <w:p w14:paraId="407A7F7C" w14:textId="77777777" w:rsidR="00474014" w:rsidRPr="005C3BF1" w:rsidRDefault="00474014" w:rsidP="00474014">
      <w:pPr>
        <w:numPr>
          <w:ilvl w:val="1"/>
          <w:numId w:val="1"/>
        </w:numPr>
        <w:spacing w:after="81" w:line="251" w:lineRule="auto"/>
        <w:ind w:hanging="360"/>
        <w:jc w:val="both"/>
      </w:pPr>
      <w:r w:rsidRPr="005C3BF1">
        <w:t xml:space="preserve">Mycie okien i zestawów okiennych stałych oraz ciągów okiennych stałych, niedostępnych od wnętrza budynków, znajdujących się na dużych wysokościach wymagać będzie zastosowania specjalistycznego sprzętu. </w:t>
      </w:r>
      <w:r>
        <w:t>W ramach niniejszego zamówienia, m</w:t>
      </w:r>
      <w:r w:rsidRPr="005C3BF1">
        <w:t>ycie</w:t>
      </w:r>
      <w:r>
        <w:t>m</w:t>
      </w:r>
      <w:r w:rsidRPr="005C3BF1">
        <w:t xml:space="preserve"> alpinistyczn</w:t>
      </w:r>
      <w:r>
        <w:t>ym</w:t>
      </w:r>
      <w:r w:rsidRPr="005C3BF1">
        <w:t xml:space="preserve"> </w:t>
      </w:r>
      <w:r>
        <w:t xml:space="preserve">będzie objęte </w:t>
      </w:r>
      <w:r w:rsidRPr="005C3BF1">
        <w:t>ok. 1 200 m</w:t>
      </w:r>
      <w:r w:rsidRPr="005C3BF1">
        <w:rPr>
          <w:vertAlign w:val="superscript"/>
        </w:rPr>
        <w:t>2</w:t>
      </w:r>
      <w:r w:rsidRPr="005C3BF1">
        <w:t>.</w:t>
      </w:r>
    </w:p>
    <w:p w14:paraId="36798D2B" w14:textId="77777777" w:rsidR="00474014" w:rsidRPr="005C3BF1" w:rsidRDefault="00474014" w:rsidP="00474014">
      <w:pPr>
        <w:pStyle w:val="Akapitzlist"/>
        <w:numPr>
          <w:ilvl w:val="1"/>
          <w:numId w:val="1"/>
        </w:numPr>
        <w:spacing w:after="56" w:line="251" w:lineRule="auto"/>
        <w:ind w:hanging="308"/>
        <w:jc w:val="both"/>
        <w:rPr>
          <w:rFonts w:ascii="Times New Roman" w:hAnsi="Times New Roman" w:cs="Times New Roman"/>
          <w:sz w:val="24"/>
          <w:szCs w:val="24"/>
        </w:rPr>
      </w:pPr>
      <w:r w:rsidRPr="005C3BF1">
        <w:rPr>
          <w:rFonts w:ascii="Times New Roman" w:hAnsi="Times New Roman" w:cs="Times New Roman"/>
          <w:sz w:val="24"/>
          <w:szCs w:val="24"/>
        </w:rPr>
        <w:t>Wszelkie prace wymagające użycia technik alpinistycznych i prowadzone na wysokości winny być wykonywane przez osoby do tego uprawnione, posiadające wymagane zezwolenia i przeszkolenia w sposób zapewniający bezpieczeństwo dla tych osób a także użytkowników.</w:t>
      </w:r>
    </w:p>
    <w:p w14:paraId="70296B48" w14:textId="77777777" w:rsidR="00474014" w:rsidRPr="005C3BF1" w:rsidRDefault="00474014" w:rsidP="00474014">
      <w:pPr>
        <w:pStyle w:val="Akapitzlist"/>
        <w:numPr>
          <w:ilvl w:val="1"/>
          <w:numId w:val="1"/>
        </w:numPr>
        <w:spacing w:after="56" w:line="251" w:lineRule="auto"/>
        <w:ind w:hanging="308"/>
        <w:jc w:val="both"/>
        <w:rPr>
          <w:rFonts w:ascii="Times New Roman" w:hAnsi="Times New Roman" w:cs="Times New Roman"/>
          <w:sz w:val="24"/>
          <w:szCs w:val="24"/>
        </w:rPr>
      </w:pPr>
      <w:r w:rsidRPr="005C3BF1">
        <w:rPr>
          <w:rFonts w:ascii="Times New Roman" w:hAnsi="Times New Roman" w:cs="Times New Roman"/>
          <w:sz w:val="24"/>
          <w:szCs w:val="24"/>
        </w:rPr>
        <w:t>Mycie okien w pomieszczeniach: w pokojach biurowych, pracowniczych, laboratoryjnych, salach seminaryjnych, technicznych i innych wskazanych przez Zamawiającego w budynkach wykonywane będzie w godzinach 7.00-14.00 w obecności pracowników, którzy potwierdzą wykonanie usługi podpisem w kontrolce prac.</w:t>
      </w:r>
    </w:p>
    <w:p w14:paraId="00059FFF" w14:textId="77777777" w:rsidR="00474014" w:rsidRPr="005C3BF1" w:rsidRDefault="00474014" w:rsidP="00474014">
      <w:pPr>
        <w:pStyle w:val="Akapitzlist"/>
        <w:numPr>
          <w:ilvl w:val="1"/>
          <w:numId w:val="1"/>
        </w:numPr>
        <w:spacing w:after="56" w:line="251" w:lineRule="auto"/>
        <w:ind w:hanging="308"/>
        <w:jc w:val="both"/>
        <w:rPr>
          <w:rFonts w:ascii="Times New Roman" w:hAnsi="Times New Roman" w:cs="Times New Roman"/>
          <w:sz w:val="24"/>
          <w:szCs w:val="24"/>
        </w:rPr>
      </w:pPr>
      <w:r w:rsidRPr="005C3BF1">
        <w:rPr>
          <w:rFonts w:ascii="Times New Roman" w:hAnsi="Times New Roman" w:cs="Times New Roman"/>
          <w:sz w:val="24"/>
          <w:szCs w:val="24"/>
        </w:rPr>
        <w:t xml:space="preserve">Na klatkach schodowych, w sanitariatach, innych pomieszczeniach ogólnie dostępnych w budynkach mycia okien może być wykonane również po godzinie 14.00,a potwierdzenie wykonania prac nastąpi w kolejnym dniu roboczym. Wykonawca zobowiązany będzie do przedstawienia Zamawiającemu do akceptacji harmonogramu realizacji prac wraz z wykazem pracowników, </w:t>
      </w:r>
      <w:r>
        <w:rPr>
          <w:rFonts w:ascii="Times New Roman" w:hAnsi="Times New Roman" w:cs="Times New Roman"/>
          <w:sz w:val="24"/>
          <w:szCs w:val="24"/>
        </w:rPr>
        <w:t xml:space="preserve">z pomocą </w:t>
      </w:r>
      <w:r w:rsidRPr="005C3BF1">
        <w:rPr>
          <w:rFonts w:ascii="Times New Roman" w:hAnsi="Times New Roman" w:cs="Times New Roman"/>
          <w:sz w:val="24"/>
          <w:szCs w:val="24"/>
        </w:rPr>
        <w:t>których usługę będzie wykonywał.</w:t>
      </w:r>
    </w:p>
    <w:p w14:paraId="72D7B068" w14:textId="77777777" w:rsidR="00474014" w:rsidRPr="005C3BF1" w:rsidRDefault="00474014" w:rsidP="00474014">
      <w:pPr>
        <w:pStyle w:val="Akapitzlist"/>
        <w:numPr>
          <w:ilvl w:val="1"/>
          <w:numId w:val="1"/>
        </w:numPr>
        <w:spacing w:after="56" w:line="251" w:lineRule="auto"/>
        <w:ind w:hanging="308"/>
        <w:jc w:val="both"/>
        <w:rPr>
          <w:rFonts w:ascii="Times New Roman" w:hAnsi="Times New Roman" w:cs="Times New Roman"/>
          <w:sz w:val="24"/>
          <w:szCs w:val="24"/>
        </w:rPr>
      </w:pPr>
      <w:r w:rsidRPr="005C3BF1">
        <w:rPr>
          <w:rFonts w:ascii="Times New Roman" w:hAnsi="Times New Roman" w:cs="Times New Roman"/>
          <w:sz w:val="24"/>
          <w:szCs w:val="24"/>
        </w:rPr>
        <w:t xml:space="preserve">Kontrola prac </w:t>
      </w:r>
      <w:r>
        <w:rPr>
          <w:rFonts w:ascii="Times New Roman" w:hAnsi="Times New Roman" w:cs="Times New Roman"/>
          <w:sz w:val="24"/>
          <w:szCs w:val="24"/>
        </w:rPr>
        <w:t>będzie następowała</w:t>
      </w:r>
      <w:r w:rsidRPr="005C3BF1">
        <w:rPr>
          <w:rFonts w:ascii="Times New Roman" w:hAnsi="Times New Roman" w:cs="Times New Roman"/>
          <w:sz w:val="24"/>
          <w:szCs w:val="24"/>
        </w:rPr>
        <w:t xml:space="preserve"> etapami, </w:t>
      </w:r>
      <w:r>
        <w:rPr>
          <w:rFonts w:ascii="Times New Roman" w:hAnsi="Times New Roman" w:cs="Times New Roman"/>
          <w:sz w:val="24"/>
          <w:szCs w:val="24"/>
        </w:rPr>
        <w:t xml:space="preserve">a jej potwierdzeniem będzie </w:t>
      </w:r>
      <w:r w:rsidRPr="005C3BF1">
        <w:rPr>
          <w:rFonts w:ascii="Times New Roman" w:hAnsi="Times New Roman" w:cs="Times New Roman"/>
          <w:sz w:val="24"/>
          <w:szCs w:val="24"/>
        </w:rPr>
        <w:t>podpis Kierownika DGI lub osobę wyznaczoną</w:t>
      </w:r>
      <w:r>
        <w:rPr>
          <w:rFonts w:ascii="Times New Roman" w:hAnsi="Times New Roman" w:cs="Times New Roman"/>
          <w:sz w:val="24"/>
          <w:szCs w:val="24"/>
        </w:rPr>
        <w:t xml:space="preserve"> przez Zamawiającego</w:t>
      </w:r>
      <w:r w:rsidRPr="005C3BF1">
        <w:rPr>
          <w:rFonts w:ascii="Times New Roman" w:hAnsi="Times New Roman" w:cs="Times New Roman"/>
          <w:sz w:val="24"/>
          <w:szCs w:val="24"/>
        </w:rPr>
        <w:t>.</w:t>
      </w:r>
    </w:p>
    <w:p w14:paraId="57977D84" w14:textId="77777777" w:rsidR="00474014" w:rsidRPr="005C3BF1" w:rsidRDefault="00474014" w:rsidP="00474014">
      <w:pPr>
        <w:pStyle w:val="Akapitzlist"/>
        <w:numPr>
          <w:ilvl w:val="1"/>
          <w:numId w:val="1"/>
        </w:numPr>
        <w:spacing w:after="56" w:line="251" w:lineRule="auto"/>
        <w:ind w:hanging="308"/>
        <w:jc w:val="both"/>
        <w:rPr>
          <w:rFonts w:ascii="Times New Roman" w:hAnsi="Times New Roman" w:cs="Times New Roman"/>
          <w:sz w:val="24"/>
          <w:szCs w:val="24"/>
        </w:rPr>
      </w:pPr>
      <w:r w:rsidRPr="005C3BF1">
        <w:rPr>
          <w:rFonts w:ascii="Times New Roman" w:hAnsi="Times New Roman" w:cs="Times New Roman"/>
          <w:sz w:val="24"/>
          <w:szCs w:val="24"/>
        </w:rPr>
        <w:t xml:space="preserve">Z uwagi na możliwość prowadzenia prac remontowych, </w:t>
      </w:r>
      <w:r>
        <w:rPr>
          <w:rFonts w:ascii="Times New Roman" w:hAnsi="Times New Roman" w:cs="Times New Roman"/>
          <w:sz w:val="24"/>
          <w:szCs w:val="24"/>
        </w:rPr>
        <w:t xml:space="preserve">  termin </w:t>
      </w:r>
      <w:r w:rsidRPr="005C3BF1">
        <w:rPr>
          <w:rFonts w:ascii="Times New Roman" w:hAnsi="Times New Roman" w:cs="Times New Roman"/>
          <w:sz w:val="24"/>
          <w:szCs w:val="24"/>
        </w:rPr>
        <w:t>myci</w:t>
      </w:r>
      <w:r>
        <w:rPr>
          <w:rFonts w:ascii="Times New Roman" w:hAnsi="Times New Roman" w:cs="Times New Roman"/>
          <w:sz w:val="24"/>
          <w:szCs w:val="24"/>
        </w:rPr>
        <w:t>a</w:t>
      </w:r>
      <w:r w:rsidRPr="005C3BF1">
        <w:rPr>
          <w:rFonts w:ascii="Times New Roman" w:hAnsi="Times New Roman" w:cs="Times New Roman"/>
          <w:sz w:val="24"/>
          <w:szCs w:val="24"/>
        </w:rPr>
        <w:t xml:space="preserve"> okien</w:t>
      </w:r>
      <w:r>
        <w:rPr>
          <w:rFonts w:ascii="Times New Roman" w:hAnsi="Times New Roman" w:cs="Times New Roman"/>
          <w:sz w:val="24"/>
          <w:szCs w:val="24"/>
        </w:rPr>
        <w:t>/przeszkleń w niektórych lokalizacjach budynków</w:t>
      </w:r>
      <w:r w:rsidRPr="005C3BF1">
        <w:rPr>
          <w:rFonts w:ascii="Times New Roman" w:hAnsi="Times New Roman" w:cs="Times New Roman"/>
          <w:sz w:val="24"/>
          <w:szCs w:val="24"/>
        </w:rPr>
        <w:t xml:space="preserve"> może ulec zmianie</w:t>
      </w:r>
      <w:r>
        <w:rPr>
          <w:rFonts w:ascii="Times New Roman" w:hAnsi="Times New Roman" w:cs="Times New Roman"/>
          <w:sz w:val="24"/>
          <w:szCs w:val="24"/>
        </w:rPr>
        <w:t xml:space="preserve"> w stosunku do ustalonego harmonogramu. W takiej sytuacji Strony są uprawnione do zmiany ustalonego harmonogramu realizacji usługi. Zamawiający poinformuje Wykonawcę o </w:t>
      </w:r>
      <w:r w:rsidRPr="005C3BF1">
        <w:rPr>
          <w:rFonts w:ascii="Times New Roman" w:hAnsi="Times New Roman" w:cs="Times New Roman"/>
          <w:sz w:val="24"/>
          <w:szCs w:val="24"/>
        </w:rPr>
        <w:t>zakończeniu prac remontowych</w:t>
      </w:r>
      <w:r>
        <w:rPr>
          <w:rFonts w:ascii="Times New Roman" w:hAnsi="Times New Roman" w:cs="Times New Roman"/>
          <w:sz w:val="24"/>
          <w:szCs w:val="24"/>
        </w:rPr>
        <w:t xml:space="preserve"> i możliwości zrealizowania usługi w określonej lokalizacji</w:t>
      </w:r>
      <w:r w:rsidRPr="005C3BF1">
        <w:rPr>
          <w:rFonts w:ascii="Times New Roman" w:hAnsi="Times New Roman" w:cs="Times New Roman"/>
          <w:sz w:val="24"/>
          <w:szCs w:val="24"/>
        </w:rPr>
        <w:t>.</w:t>
      </w:r>
    </w:p>
    <w:p w14:paraId="69B722C4" w14:textId="77777777" w:rsidR="00474014" w:rsidRPr="005C3BF1" w:rsidRDefault="00474014" w:rsidP="00474014">
      <w:pPr>
        <w:pStyle w:val="Akapitzlist"/>
        <w:numPr>
          <w:ilvl w:val="1"/>
          <w:numId w:val="1"/>
        </w:numPr>
        <w:spacing w:after="56" w:line="251" w:lineRule="auto"/>
        <w:ind w:hanging="308"/>
        <w:jc w:val="both"/>
        <w:rPr>
          <w:rFonts w:ascii="Times New Roman" w:hAnsi="Times New Roman" w:cs="Times New Roman"/>
          <w:sz w:val="24"/>
          <w:szCs w:val="24"/>
        </w:rPr>
      </w:pPr>
      <w:r w:rsidRPr="005C3BF1">
        <w:rPr>
          <w:rFonts w:ascii="Times New Roman" w:hAnsi="Times New Roman" w:cs="Times New Roman"/>
          <w:sz w:val="24"/>
          <w:szCs w:val="24"/>
        </w:rPr>
        <w:t xml:space="preserve">Wykonawca zobowiązany jest poinformować Zamawiającego o zauważonych </w:t>
      </w:r>
    </w:p>
    <w:p w14:paraId="31BDB609" w14:textId="77777777" w:rsidR="00474014" w:rsidRPr="005C3BF1" w:rsidRDefault="00474014" w:rsidP="00474014">
      <w:pPr>
        <w:ind w:left="752"/>
        <w:jc w:val="both"/>
      </w:pPr>
      <w:r w:rsidRPr="005C3BF1">
        <w:t>usterkach</w:t>
      </w:r>
      <w:r>
        <w:t>, uszkodzeniach okien/przeszkleń lub innych podobnych okolicznościach</w:t>
      </w:r>
      <w:r w:rsidRPr="005C3BF1">
        <w:t>.</w:t>
      </w:r>
    </w:p>
    <w:p w14:paraId="55FD4246" w14:textId="77777777" w:rsidR="00474014" w:rsidRPr="005C3BF1" w:rsidRDefault="00474014" w:rsidP="00474014">
      <w:pPr>
        <w:jc w:val="both"/>
      </w:pPr>
    </w:p>
    <w:p w14:paraId="6FE44A73" w14:textId="77777777" w:rsidR="00474014" w:rsidRDefault="00474014" w:rsidP="00474014">
      <w:pPr>
        <w:jc w:val="both"/>
      </w:pPr>
    </w:p>
    <w:p w14:paraId="24090182" w14:textId="77777777" w:rsidR="00474014" w:rsidRDefault="00474014" w:rsidP="00474014">
      <w:pPr>
        <w:jc w:val="both"/>
      </w:pPr>
    </w:p>
    <w:p w14:paraId="088BA914" w14:textId="77777777" w:rsidR="00474014" w:rsidRDefault="00474014" w:rsidP="00474014">
      <w:pPr>
        <w:jc w:val="both"/>
        <w:rPr>
          <w:b/>
        </w:rPr>
        <w:sectPr w:rsidR="00474014">
          <w:pgSz w:w="11906" w:h="16838"/>
          <w:pgMar w:top="954" w:right="1004" w:bottom="988" w:left="1260" w:header="708" w:footer="709" w:gutter="0"/>
          <w:cols w:space="708"/>
        </w:sectPr>
      </w:pPr>
    </w:p>
    <w:p w14:paraId="70E2175D" w14:textId="77777777" w:rsidR="00474014" w:rsidRDefault="00474014" w:rsidP="00474014">
      <w:pPr>
        <w:rPr>
          <w:b/>
        </w:rPr>
      </w:pPr>
      <w:r>
        <w:rPr>
          <w:b/>
        </w:rPr>
        <w:lastRenderedPageBreak/>
        <w:t>Załącznik nr 5.2 do S</w:t>
      </w:r>
      <w:r w:rsidRPr="00ED512F">
        <w:rPr>
          <w:b/>
        </w:rPr>
        <w:t>WZ - KALKULACJA CENY OFERTOWEJ</w:t>
      </w:r>
    </w:p>
    <w:p w14:paraId="2CA74658" w14:textId="77777777" w:rsidR="00474014" w:rsidRPr="005E7B11" w:rsidRDefault="00474014" w:rsidP="00474014">
      <w:pPr>
        <w:rPr>
          <w:b/>
        </w:rPr>
      </w:pPr>
      <w:r w:rsidRPr="00ED512F">
        <w:rPr>
          <w:b/>
        </w:rPr>
        <w:t>Sprawa nr</w:t>
      </w:r>
      <w:r>
        <w:rPr>
          <w:b/>
        </w:rPr>
        <w:t>:</w:t>
      </w:r>
      <w:r w:rsidRPr="00EE0AD0">
        <w:rPr>
          <w:b/>
        </w:rPr>
        <w:t xml:space="preserve"> </w:t>
      </w:r>
      <w:r w:rsidRPr="005E7B11">
        <w:rPr>
          <w:b/>
        </w:rPr>
        <w:t>Sprawa nr: SZP.250.</w:t>
      </w:r>
      <w:r>
        <w:rPr>
          <w:b/>
        </w:rPr>
        <w:t>19.2025</w:t>
      </w:r>
    </w:p>
    <w:p w14:paraId="284265AD" w14:textId="77777777" w:rsidR="00474014" w:rsidRDefault="00474014" w:rsidP="00474014">
      <w:pPr>
        <w:jc w:val="center"/>
        <w:rPr>
          <w:b/>
        </w:rPr>
      </w:pPr>
    </w:p>
    <w:p w14:paraId="1643712C" w14:textId="77777777" w:rsidR="00474014" w:rsidRPr="00433264" w:rsidRDefault="00474014" w:rsidP="00474014">
      <w:r>
        <w:rPr>
          <w:b/>
        </w:rPr>
        <w:tab/>
      </w:r>
      <w:r>
        <w:rPr>
          <w:b/>
        </w:rPr>
        <w:tab/>
        <w:t xml:space="preserve">Część II – MYCIE OKIEN  W </w:t>
      </w:r>
      <w:r w:rsidRPr="00786F2D">
        <w:rPr>
          <w:b/>
        </w:rPr>
        <w:t>BUDYNK</w:t>
      </w:r>
      <w:r>
        <w:rPr>
          <w:b/>
        </w:rPr>
        <w:t>ACH</w:t>
      </w:r>
      <w:r w:rsidRPr="00786F2D">
        <w:rPr>
          <w:b/>
        </w:rPr>
        <w:t xml:space="preserve"> </w:t>
      </w:r>
      <w:r>
        <w:rPr>
          <w:b/>
        </w:rPr>
        <w:t xml:space="preserve"> NR</w:t>
      </w:r>
      <w:r w:rsidRPr="00786F2D">
        <w:rPr>
          <w:b/>
        </w:rPr>
        <w:t xml:space="preserve"> 9, 16, 17, 18, 19, 20, 21, 33, 34, 49, 51, 52</w:t>
      </w:r>
    </w:p>
    <w:p w14:paraId="345957DD" w14:textId="77777777" w:rsidR="00474014" w:rsidRDefault="00474014" w:rsidP="00474014">
      <w:pPr>
        <w:jc w:val="both"/>
      </w:pPr>
    </w:p>
    <w:p w14:paraId="628C7992" w14:textId="77777777" w:rsidR="00474014" w:rsidRPr="00316D42" w:rsidRDefault="00474014" w:rsidP="00474014">
      <w:pPr>
        <w:jc w:val="center"/>
        <w:rPr>
          <w:b/>
        </w:rPr>
      </w:pPr>
      <w:r w:rsidRPr="00ED512F">
        <w:rPr>
          <w:b/>
        </w:rPr>
        <w:t>KALKULACJA CENY OFERTOWEJ (FORMULARZ CENOWY)</w:t>
      </w:r>
    </w:p>
    <w:p w14:paraId="4220D066" w14:textId="77777777" w:rsidR="00474014" w:rsidRDefault="00474014" w:rsidP="00474014">
      <w:pPr>
        <w:jc w:val="both"/>
      </w:pPr>
    </w:p>
    <w:tbl>
      <w:tblPr>
        <w:tblW w:w="14240" w:type="dxa"/>
        <w:tblInd w:w="55" w:type="dxa"/>
        <w:tblLayout w:type="fixed"/>
        <w:tblCellMar>
          <w:left w:w="70" w:type="dxa"/>
          <w:right w:w="70" w:type="dxa"/>
        </w:tblCellMar>
        <w:tblLook w:val="0000" w:firstRow="0" w:lastRow="0" w:firstColumn="0" w:lastColumn="0" w:noHBand="0" w:noVBand="0"/>
      </w:tblPr>
      <w:tblGrid>
        <w:gridCol w:w="588"/>
        <w:gridCol w:w="2335"/>
        <w:gridCol w:w="2040"/>
        <w:gridCol w:w="1611"/>
        <w:gridCol w:w="2235"/>
        <w:gridCol w:w="1047"/>
        <w:gridCol w:w="1826"/>
        <w:gridCol w:w="2558"/>
      </w:tblGrid>
      <w:tr w:rsidR="00474014" w:rsidRPr="00BF0122" w14:paraId="6D51C0B0" w14:textId="77777777" w:rsidTr="00736202">
        <w:trPr>
          <w:trHeight w:val="1287"/>
        </w:trPr>
        <w:tc>
          <w:tcPr>
            <w:tcW w:w="588" w:type="dxa"/>
            <w:tcBorders>
              <w:top w:val="single" w:sz="8" w:space="0" w:color="auto"/>
              <w:left w:val="single" w:sz="8" w:space="0" w:color="auto"/>
              <w:bottom w:val="single" w:sz="4" w:space="0" w:color="auto"/>
              <w:right w:val="single" w:sz="4" w:space="0" w:color="auto"/>
            </w:tcBorders>
            <w:shd w:val="clear" w:color="auto" w:fill="C0C0C0"/>
            <w:vAlign w:val="center"/>
          </w:tcPr>
          <w:p w14:paraId="7FE7A447" w14:textId="77777777" w:rsidR="00474014" w:rsidRPr="0004269F" w:rsidRDefault="00474014" w:rsidP="00736202">
            <w:pPr>
              <w:jc w:val="center"/>
              <w:rPr>
                <w:b/>
                <w:bCs/>
              </w:rPr>
            </w:pPr>
            <w:r w:rsidRPr="0004269F">
              <w:rPr>
                <w:b/>
                <w:bCs/>
              </w:rPr>
              <w:t>L.p.</w:t>
            </w:r>
          </w:p>
        </w:tc>
        <w:tc>
          <w:tcPr>
            <w:tcW w:w="2335" w:type="dxa"/>
            <w:tcBorders>
              <w:top w:val="single" w:sz="8" w:space="0" w:color="auto"/>
              <w:left w:val="nil"/>
              <w:bottom w:val="single" w:sz="4" w:space="0" w:color="auto"/>
              <w:right w:val="single" w:sz="4" w:space="0" w:color="auto"/>
            </w:tcBorders>
            <w:shd w:val="clear" w:color="auto" w:fill="C0C0C0"/>
            <w:vAlign w:val="center"/>
          </w:tcPr>
          <w:p w14:paraId="74964614" w14:textId="77777777" w:rsidR="00474014" w:rsidRPr="0004269F" w:rsidRDefault="00474014" w:rsidP="00736202">
            <w:pPr>
              <w:jc w:val="center"/>
              <w:rPr>
                <w:b/>
                <w:bCs/>
              </w:rPr>
            </w:pPr>
            <w:r>
              <w:rPr>
                <w:b/>
                <w:bCs/>
              </w:rPr>
              <w:t xml:space="preserve">Obiekty </w:t>
            </w:r>
          </w:p>
        </w:tc>
        <w:tc>
          <w:tcPr>
            <w:tcW w:w="2040" w:type="dxa"/>
            <w:tcBorders>
              <w:top w:val="single" w:sz="8" w:space="0" w:color="auto"/>
              <w:left w:val="nil"/>
              <w:bottom w:val="single" w:sz="4" w:space="0" w:color="auto"/>
              <w:right w:val="single" w:sz="4" w:space="0" w:color="auto"/>
            </w:tcBorders>
            <w:shd w:val="clear" w:color="auto" w:fill="C0C0C0"/>
            <w:vAlign w:val="center"/>
          </w:tcPr>
          <w:p w14:paraId="440B6B12" w14:textId="77777777" w:rsidR="00474014" w:rsidRPr="0004269F" w:rsidRDefault="00474014" w:rsidP="00736202">
            <w:pPr>
              <w:jc w:val="center"/>
              <w:rPr>
                <w:b/>
                <w:bCs/>
              </w:rPr>
            </w:pPr>
            <w:r>
              <w:rPr>
                <w:b/>
                <w:bCs/>
              </w:rPr>
              <w:t>Razem p</w:t>
            </w:r>
            <w:r w:rsidRPr="0004269F">
              <w:rPr>
                <w:b/>
                <w:bCs/>
              </w:rPr>
              <w:t xml:space="preserve">owierzchnia okien </w:t>
            </w:r>
            <w:r>
              <w:rPr>
                <w:b/>
                <w:bCs/>
              </w:rPr>
              <w:t xml:space="preserve">w m </w:t>
            </w:r>
            <w:r>
              <w:rPr>
                <w:b/>
                <w:bCs/>
                <w:vertAlign w:val="superscript"/>
              </w:rPr>
              <w:t>2</w:t>
            </w:r>
          </w:p>
        </w:tc>
        <w:tc>
          <w:tcPr>
            <w:tcW w:w="1611" w:type="dxa"/>
            <w:tcBorders>
              <w:top w:val="single" w:sz="8" w:space="0" w:color="auto"/>
              <w:left w:val="nil"/>
              <w:bottom w:val="single" w:sz="4" w:space="0" w:color="auto"/>
              <w:right w:val="single" w:sz="4" w:space="0" w:color="auto"/>
            </w:tcBorders>
            <w:shd w:val="clear" w:color="auto" w:fill="C0C0C0"/>
            <w:vAlign w:val="center"/>
          </w:tcPr>
          <w:p w14:paraId="05176A7C" w14:textId="77777777" w:rsidR="00474014" w:rsidRPr="0004269F" w:rsidRDefault="00474014" w:rsidP="00736202">
            <w:pPr>
              <w:jc w:val="center"/>
              <w:rPr>
                <w:b/>
                <w:bCs/>
              </w:rPr>
            </w:pPr>
            <w:r w:rsidRPr="0004269F">
              <w:rPr>
                <w:b/>
                <w:bCs/>
              </w:rPr>
              <w:t>Cena jednostkowa netto za 1m</w:t>
            </w:r>
            <w:r w:rsidRPr="0004269F">
              <w:rPr>
                <w:b/>
                <w:bCs/>
                <w:vertAlign w:val="superscript"/>
              </w:rPr>
              <w:t>2</w:t>
            </w:r>
            <w:r w:rsidRPr="0004269F">
              <w:rPr>
                <w:b/>
                <w:bCs/>
              </w:rPr>
              <w:t>/zł</w:t>
            </w:r>
          </w:p>
        </w:tc>
        <w:tc>
          <w:tcPr>
            <w:tcW w:w="2235" w:type="dxa"/>
            <w:tcBorders>
              <w:top w:val="single" w:sz="8" w:space="0" w:color="auto"/>
              <w:left w:val="nil"/>
              <w:bottom w:val="single" w:sz="4" w:space="0" w:color="auto"/>
              <w:right w:val="single" w:sz="4" w:space="0" w:color="auto"/>
            </w:tcBorders>
            <w:shd w:val="clear" w:color="auto" w:fill="C0C0C0"/>
            <w:vAlign w:val="center"/>
          </w:tcPr>
          <w:p w14:paraId="6E5CBB76" w14:textId="77777777" w:rsidR="00474014" w:rsidRPr="0004269F" w:rsidRDefault="00474014" w:rsidP="00736202">
            <w:pPr>
              <w:jc w:val="center"/>
              <w:rPr>
                <w:b/>
                <w:bCs/>
              </w:rPr>
            </w:pPr>
            <w:r w:rsidRPr="0004269F">
              <w:rPr>
                <w:b/>
                <w:bCs/>
              </w:rPr>
              <w:t>Wartość netto</w:t>
            </w:r>
          </w:p>
        </w:tc>
        <w:tc>
          <w:tcPr>
            <w:tcW w:w="1047" w:type="dxa"/>
            <w:tcBorders>
              <w:top w:val="single" w:sz="8" w:space="0" w:color="auto"/>
              <w:left w:val="nil"/>
              <w:bottom w:val="single" w:sz="4" w:space="0" w:color="auto"/>
              <w:right w:val="single" w:sz="4" w:space="0" w:color="auto"/>
            </w:tcBorders>
            <w:shd w:val="clear" w:color="auto" w:fill="C0C0C0"/>
            <w:vAlign w:val="center"/>
          </w:tcPr>
          <w:p w14:paraId="76908258" w14:textId="77777777" w:rsidR="00474014" w:rsidRPr="0004269F" w:rsidRDefault="00474014" w:rsidP="00736202">
            <w:pPr>
              <w:jc w:val="center"/>
              <w:rPr>
                <w:b/>
                <w:bCs/>
              </w:rPr>
            </w:pPr>
            <w:r w:rsidRPr="0004269F">
              <w:rPr>
                <w:b/>
                <w:bCs/>
              </w:rPr>
              <w:t>Stawka VAT %</w:t>
            </w:r>
          </w:p>
        </w:tc>
        <w:tc>
          <w:tcPr>
            <w:tcW w:w="1826" w:type="dxa"/>
            <w:tcBorders>
              <w:top w:val="single" w:sz="8" w:space="0" w:color="auto"/>
              <w:left w:val="nil"/>
              <w:bottom w:val="single" w:sz="4" w:space="0" w:color="auto"/>
              <w:right w:val="single" w:sz="4" w:space="0" w:color="auto"/>
            </w:tcBorders>
            <w:shd w:val="clear" w:color="auto" w:fill="C0C0C0"/>
            <w:vAlign w:val="center"/>
          </w:tcPr>
          <w:p w14:paraId="20E55A23" w14:textId="77777777" w:rsidR="00474014" w:rsidRPr="0004269F" w:rsidRDefault="00474014" w:rsidP="00736202">
            <w:pPr>
              <w:jc w:val="center"/>
              <w:rPr>
                <w:b/>
                <w:bCs/>
              </w:rPr>
            </w:pPr>
            <w:r w:rsidRPr="0004269F">
              <w:rPr>
                <w:b/>
                <w:bCs/>
              </w:rPr>
              <w:t>Wartość VAT</w:t>
            </w:r>
          </w:p>
        </w:tc>
        <w:tc>
          <w:tcPr>
            <w:tcW w:w="2558" w:type="dxa"/>
            <w:tcBorders>
              <w:top w:val="single" w:sz="8" w:space="0" w:color="auto"/>
              <w:left w:val="nil"/>
              <w:bottom w:val="single" w:sz="4" w:space="0" w:color="auto"/>
              <w:right w:val="single" w:sz="8" w:space="0" w:color="auto"/>
            </w:tcBorders>
            <w:shd w:val="clear" w:color="auto" w:fill="C0C0C0"/>
            <w:vAlign w:val="center"/>
          </w:tcPr>
          <w:p w14:paraId="19BFC769" w14:textId="77777777" w:rsidR="00474014" w:rsidRPr="0004269F" w:rsidRDefault="00474014" w:rsidP="00736202">
            <w:pPr>
              <w:jc w:val="center"/>
              <w:rPr>
                <w:b/>
                <w:bCs/>
              </w:rPr>
            </w:pPr>
            <w:r w:rsidRPr="0004269F">
              <w:rPr>
                <w:b/>
                <w:bCs/>
              </w:rPr>
              <w:t>Wartość brutto</w:t>
            </w:r>
          </w:p>
        </w:tc>
      </w:tr>
      <w:tr w:rsidR="00474014" w:rsidRPr="00BF0122" w14:paraId="1799FBE7" w14:textId="77777777" w:rsidTr="00736202">
        <w:trPr>
          <w:trHeight w:val="267"/>
        </w:trPr>
        <w:tc>
          <w:tcPr>
            <w:tcW w:w="588" w:type="dxa"/>
            <w:tcBorders>
              <w:top w:val="nil"/>
              <w:left w:val="single" w:sz="8" w:space="0" w:color="auto"/>
              <w:bottom w:val="single" w:sz="4" w:space="0" w:color="auto"/>
              <w:right w:val="single" w:sz="4" w:space="0" w:color="auto"/>
            </w:tcBorders>
            <w:shd w:val="clear" w:color="auto" w:fill="auto"/>
            <w:noWrap/>
            <w:vAlign w:val="bottom"/>
          </w:tcPr>
          <w:p w14:paraId="745A0CF5" w14:textId="77777777" w:rsidR="00474014" w:rsidRPr="0004269F" w:rsidRDefault="00474014" w:rsidP="00736202">
            <w:pPr>
              <w:jc w:val="center"/>
              <w:rPr>
                <w:b/>
                <w:bCs/>
              </w:rPr>
            </w:pPr>
            <w:r w:rsidRPr="0004269F">
              <w:rPr>
                <w:b/>
                <w:bCs/>
              </w:rPr>
              <w:t>1</w:t>
            </w:r>
          </w:p>
        </w:tc>
        <w:tc>
          <w:tcPr>
            <w:tcW w:w="2335" w:type="dxa"/>
            <w:tcBorders>
              <w:top w:val="nil"/>
              <w:left w:val="nil"/>
              <w:bottom w:val="single" w:sz="4" w:space="0" w:color="auto"/>
              <w:right w:val="single" w:sz="4" w:space="0" w:color="auto"/>
            </w:tcBorders>
            <w:shd w:val="clear" w:color="auto" w:fill="auto"/>
            <w:noWrap/>
            <w:vAlign w:val="bottom"/>
          </w:tcPr>
          <w:p w14:paraId="3DAFF7EF" w14:textId="77777777" w:rsidR="00474014" w:rsidRPr="0004269F" w:rsidRDefault="00474014" w:rsidP="00736202">
            <w:pPr>
              <w:jc w:val="center"/>
              <w:rPr>
                <w:b/>
                <w:bCs/>
              </w:rPr>
            </w:pPr>
            <w:r w:rsidRPr="0004269F">
              <w:rPr>
                <w:b/>
                <w:bCs/>
              </w:rPr>
              <w:t>2</w:t>
            </w:r>
          </w:p>
        </w:tc>
        <w:tc>
          <w:tcPr>
            <w:tcW w:w="2040" w:type="dxa"/>
            <w:tcBorders>
              <w:top w:val="nil"/>
              <w:left w:val="nil"/>
              <w:bottom w:val="single" w:sz="4" w:space="0" w:color="auto"/>
              <w:right w:val="single" w:sz="4" w:space="0" w:color="auto"/>
            </w:tcBorders>
            <w:shd w:val="clear" w:color="auto" w:fill="auto"/>
            <w:noWrap/>
            <w:vAlign w:val="bottom"/>
          </w:tcPr>
          <w:p w14:paraId="22C75914" w14:textId="77777777" w:rsidR="00474014" w:rsidRPr="0004269F" w:rsidRDefault="00474014" w:rsidP="00736202">
            <w:pPr>
              <w:jc w:val="center"/>
              <w:rPr>
                <w:b/>
                <w:bCs/>
              </w:rPr>
            </w:pPr>
            <w:r w:rsidRPr="0004269F">
              <w:rPr>
                <w:b/>
                <w:bCs/>
              </w:rPr>
              <w:t>3</w:t>
            </w:r>
          </w:p>
        </w:tc>
        <w:tc>
          <w:tcPr>
            <w:tcW w:w="1611" w:type="dxa"/>
            <w:tcBorders>
              <w:top w:val="nil"/>
              <w:left w:val="nil"/>
              <w:bottom w:val="single" w:sz="4" w:space="0" w:color="auto"/>
              <w:right w:val="single" w:sz="4" w:space="0" w:color="auto"/>
            </w:tcBorders>
            <w:shd w:val="clear" w:color="auto" w:fill="auto"/>
            <w:noWrap/>
            <w:vAlign w:val="bottom"/>
          </w:tcPr>
          <w:p w14:paraId="54B11228" w14:textId="77777777" w:rsidR="00474014" w:rsidRPr="0004269F" w:rsidRDefault="00474014" w:rsidP="00736202">
            <w:pPr>
              <w:jc w:val="center"/>
              <w:rPr>
                <w:b/>
                <w:bCs/>
              </w:rPr>
            </w:pPr>
            <w:r w:rsidRPr="0004269F">
              <w:rPr>
                <w:b/>
                <w:bCs/>
              </w:rPr>
              <w:t>4</w:t>
            </w:r>
          </w:p>
        </w:tc>
        <w:tc>
          <w:tcPr>
            <w:tcW w:w="2235" w:type="dxa"/>
            <w:tcBorders>
              <w:top w:val="nil"/>
              <w:left w:val="nil"/>
              <w:bottom w:val="single" w:sz="4" w:space="0" w:color="auto"/>
              <w:right w:val="single" w:sz="4" w:space="0" w:color="auto"/>
            </w:tcBorders>
            <w:shd w:val="clear" w:color="auto" w:fill="auto"/>
            <w:noWrap/>
            <w:vAlign w:val="bottom"/>
          </w:tcPr>
          <w:p w14:paraId="281263B9" w14:textId="77777777" w:rsidR="00474014" w:rsidRPr="0004269F" w:rsidRDefault="00474014" w:rsidP="00736202">
            <w:pPr>
              <w:jc w:val="center"/>
              <w:rPr>
                <w:b/>
                <w:bCs/>
              </w:rPr>
            </w:pPr>
            <w:r>
              <w:rPr>
                <w:b/>
                <w:bCs/>
              </w:rPr>
              <w:t>5</w:t>
            </w:r>
            <w:r w:rsidRPr="0004269F">
              <w:rPr>
                <w:b/>
                <w:bCs/>
              </w:rPr>
              <w:t xml:space="preserve"> = 3x4</w:t>
            </w:r>
          </w:p>
        </w:tc>
        <w:tc>
          <w:tcPr>
            <w:tcW w:w="1047" w:type="dxa"/>
            <w:tcBorders>
              <w:top w:val="nil"/>
              <w:left w:val="nil"/>
              <w:bottom w:val="single" w:sz="4" w:space="0" w:color="auto"/>
              <w:right w:val="single" w:sz="4" w:space="0" w:color="auto"/>
            </w:tcBorders>
            <w:shd w:val="clear" w:color="auto" w:fill="auto"/>
            <w:noWrap/>
            <w:vAlign w:val="bottom"/>
          </w:tcPr>
          <w:p w14:paraId="648865DB" w14:textId="77777777" w:rsidR="00474014" w:rsidRPr="0004269F" w:rsidRDefault="00474014" w:rsidP="00736202">
            <w:pPr>
              <w:jc w:val="center"/>
              <w:rPr>
                <w:b/>
                <w:bCs/>
              </w:rPr>
            </w:pPr>
            <w:r>
              <w:rPr>
                <w:b/>
                <w:bCs/>
              </w:rPr>
              <w:t>6</w:t>
            </w:r>
          </w:p>
        </w:tc>
        <w:tc>
          <w:tcPr>
            <w:tcW w:w="1826" w:type="dxa"/>
            <w:tcBorders>
              <w:top w:val="nil"/>
              <w:left w:val="nil"/>
              <w:bottom w:val="single" w:sz="4" w:space="0" w:color="auto"/>
              <w:right w:val="single" w:sz="4" w:space="0" w:color="auto"/>
            </w:tcBorders>
            <w:shd w:val="clear" w:color="auto" w:fill="auto"/>
            <w:noWrap/>
            <w:vAlign w:val="bottom"/>
          </w:tcPr>
          <w:p w14:paraId="5FB85E7E" w14:textId="77777777" w:rsidR="00474014" w:rsidRPr="0004269F" w:rsidRDefault="00474014" w:rsidP="00736202">
            <w:pPr>
              <w:jc w:val="center"/>
              <w:rPr>
                <w:b/>
                <w:bCs/>
              </w:rPr>
            </w:pPr>
            <w:r>
              <w:rPr>
                <w:b/>
                <w:bCs/>
              </w:rPr>
              <w:t>7</w:t>
            </w:r>
            <w:r w:rsidRPr="0004269F">
              <w:rPr>
                <w:b/>
                <w:bCs/>
              </w:rPr>
              <w:t xml:space="preserve"> = </w:t>
            </w:r>
            <w:r>
              <w:rPr>
                <w:b/>
                <w:bCs/>
              </w:rPr>
              <w:t>5 x 6</w:t>
            </w:r>
          </w:p>
        </w:tc>
        <w:tc>
          <w:tcPr>
            <w:tcW w:w="2558" w:type="dxa"/>
            <w:tcBorders>
              <w:top w:val="nil"/>
              <w:left w:val="nil"/>
              <w:bottom w:val="single" w:sz="4" w:space="0" w:color="auto"/>
              <w:right w:val="single" w:sz="8" w:space="0" w:color="auto"/>
            </w:tcBorders>
            <w:shd w:val="clear" w:color="auto" w:fill="auto"/>
            <w:noWrap/>
            <w:vAlign w:val="bottom"/>
          </w:tcPr>
          <w:p w14:paraId="3F0E031B" w14:textId="77777777" w:rsidR="00474014" w:rsidRPr="0004269F" w:rsidRDefault="00474014" w:rsidP="00736202">
            <w:pPr>
              <w:jc w:val="center"/>
              <w:rPr>
                <w:b/>
                <w:bCs/>
              </w:rPr>
            </w:pPr>
            <w:r>
              <w:rPr>
                <w:b/>
                <w:bCs/>
              </w:rPr>
              <w:t>8</w:t>
            </w:r>
            <w:r w:rsidRPr="0004269F">
              <w:rPr>
                <w:b/>
                <w:bCs/>
              </w:rPr>
              <w:t xml:space="preserve"> = </w:t>
            </w:r>
            <w:r>
              <w:rPr>
                <w:b/>
                <w:bCs/>
              </w:rPr>
              <w:t>5</w:t>
            </w:r>
            <w:r w:rsidRPr="0004269F">
              <w:rPr>
                <w:b/>
                <w:bCs/>
              </w:rPr>
              <w:t>+</w:t>
            </w:r>
            <w:r>
              <w:rPr>
                <w:b/>
                <w:bCs/>
              </w:rPr>
              <w:t>7</w:t>
            </w:r>
          </w:p>
        </w:tc>
      </w:tr>
      <w:tr w:rsidR="00474014" w:rsidRPr="00BF0122" w14:paraId="20CAA229" w14:textId="77777777" w:rsidTr="00736202">
        <w:trPr>
          <w:trHeight w:val="1060"/>
        </w:trPr>
        <w:tc>
          <w:tcPr>
            <w:tcW w:w="5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617F46" w14:textId="77777777" w:rsidR="00474014" w:rsidRPr="0004269F" w:rsidRDefault="00474014" w:rsidP="00736202">
            <w:pPr>
              <w:jc w:val="center"/>
            </w:pPr>
            <w:r w:rsidRPr="0004269F">
              <w:t>1</w:t>
            </w:r>
          </w:p>
        </w:tc>
        <w:tc>
          <w:tcPr>
            <w:tcW w:w="2335" w:type="dxa"/>
            <w:tcBorders>
              <w:top w:val="single" w:sz="4" w:space="0" w:color="auto"/>
              <w:left w:val="nil"/>
              <w:bottom w:val="single" w:sz="4" w:space="0" w:color="auto"/>
              <w:right w:val="single" w:sz="4" w:space="0" w:color="auto"/>
            </w:tcBorders>
            <w:shd w:val="clear" w:color="auto" w:fill="auto"/>
            <w:noWrap/>
            <w:vAlign w:val="center"/>
          </w:tcPr>
          <w:p w14:paraId="7C5C564D" w14:textId="77777777" w:rsidR="00474014" w:rsidRPr="0004269F" w:rsidRDefault="00474014" w:rsidP="00736202">
            <w:pPr>
              <w:jc w:val="center"/>
              <w:rPr>
                <w:b/>
                <w:bCs/>
              </w:rPr>
            </w:pPr>
            <w:r>
              <w:rPr>
                <w:b/>
                <w:bCs/>
              </w:rPr>
              <w:t xml:space="preserve">Mycie okien w budynkach </w:t>
            </w:r>
          </w:p>
        </w:tc>
        <w:tc>
          <w:tcPr>
            <w:tcW w:w="2040" w:type="dxa"/>
            <w:tcBorders>
              <w:top w:val="single" w:sz="4" w:space="0" w:color="auto"/>
              <w:left w:val="nil"/>
              <w:bottom w:val="single" w:sz="4" w:space="0" w:color="auto"/>
              <w:right w:val="single" w:sz="4" w:space="0" w:color="auto"/>
            </w:tcBorders>
            <w:shd w:val="clear" w:color="auto" w:fill="auto"/>
            <w:noWrap/>
            <w:vAlign w:val="center"/>
          </w:tcPr>
          <w:p w14:paraId="7D67B8D0" w14:textId="77777777" w:rsidR="00474014" w:rsidRPr="00631726" w:rsidRDefault="00474014" w:rsidP="00736202">
            <w:pPr>
              <w:jc w:val="center"/>
              <w:rPr>
                <w:b/>
              </w:rPr>
            </w:pPr>
            <w:r>
              <w:t>14 700,00 m</w:t>
            </w:r>
          </w:p>
        </w:tc>
        <w:tc>
          <w:tcPr>
            <w:tcW w:w="1611" w:type="dxa"/>
            <w:tcBorders>
              <w:top w:val="single" w:sz="4" w:space="0" w:color="auto"/>
              <w:left w:val="nil"/>
              <w:bottom w:val="single" w:sz="4" w:space="0" w:color="auto"/>
              <w:right w:val="single" w:sz="4" w:space="0" w:color="auto"/>
            </w:tcBorders>
            <w:shd w:val="clear" w:color="auto" w:fill="auto"/>
            <w:noWrap/>
            <w:vAlign w:val="center"/>
          </w:tcPr>
          <w:p w14:paraId="0F29F2AF" w14:textId="77777777" w:rsidR="00474014" w:rsidRPr="0004269F" w:rsidRDefault="00474014" w:rsidP="00736202">
            <w:r w:rsidRPr="0004269F">
              <w:t> </w:t>
            </w:r>
          </w:p>
        </w:tc>
        <w:tc>
          <w:tcPr>
            <w:tcW w:w="2235" w:type="dxa"/>
            <w:tcBorders>
              <w:top w:val="single" w:sz="4" w:space="0" w:color="auto"/>
              <w:left w:val="nil"/>
              <w:bottom w:val="single" w:sz="4" w:space="0" w:color="auto"/>
              <w:right w:val="single" w:sz="4" w:space="0" w:color="auto"/>
            </w:tcBorders>
            <w:shd w:val="clear" w:color="auto" w:fill="auto"/>
            <w:noWrap/>
            <w:vAlign w:val="center"/>
          </w:tcPr>
          <w:p w14:paraId="574FE56F" w14:textId="77777777" w:rsidR="00474014" w:rsidRPr="0004269F" w:rsidRDefault="00474014" w:rsidP="00736202">
            <w:r w:rsidRPr="0004269F">
              <w:t> </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F21C691" w14:textId="77777777" w:rsidR="00474014" w:rsidRPr="0004269F" w:rsidRDefault="00474014" w:rsidP="00736202">
            <w:r w:rsidRPr="0004269F">
              <w:t> </w:t>
            </w:r>
          </w:p>
        </w:tc>
        <w:tc>
          <w:tcPr>
            <w:tcW w:w="1826" w:type="dxa"/>
            <w:tcBorders>
              <w:top w:val="single" w:sz="4" w:space="0" w:color="auto"/>
              <w:left w:val="nil"/>
              <w:bottom w:val="single" w:sz="4" w:space="0" w:color="auto"/>
              <w:right w:val="single" w:sz="4" w:space="0" w:color="auto"/>
            </w:tcBorders>
            <w:shd w:val="clear" w:color="auto" w:fill="auto"/>
            <w:noWrap/>
            <w:vAlign w:val="bottom"/>
          </w:tcPr>
          <w:p w14:paraId="3DCB6A17" w14:textId="77777777" w:rsidR="00474014" w:rsidRPr="0004269F" w:rsidRDefault="00474014" w:rsidP="00736202">
            <w:r w:rsidRPr="0004269F">
              <w:t> </w:t>
            </w:r>
          </w:p>
        </w:tc>
        <w:tc>
          <w:tcPr>
            <w:tcW w:w="2558" w:type="dxa"/>
            <w:tcBorders>
              <w:top w:val="single" w:sz="4" w:space="0" w:color="auto"/>
              <w:left w:val="nil"/>
              <w:bottom w:val="single" w:sz="4" w:space="0" w:color="auto"/>
              <w:right w:val="single" w:sz="4" w:space="0" w:color="auto"/>
            </w:tcBorders>
            <w:shd w:val="clear" w:color="auto" w:fill="auto"/>
            <w:noWrap/>
            <w:vAlign w:val="bottom"/>
          </w:tcPr>
          <w:p w14:paraId="3FB1BDC9" w14:textId="77777777" w:rsidR="00474014" w:rsidRPr="0004269F" w:rsidRDefault="00474014" w:rsidP="00736202">
            <w:r w:rsidRPr="0004269F">
              <w:t> </w:t>
            </w:r>
          </w:p>
        </w:tc>
      </w:tr>
      <w:tr w:rsidR="00474014" w:rsidRPr="00BF0122" w14:paraId="660D2EFF" w14:textId="77777777" w:rsidTr="00736202">
        <w:trPr>
          <w:trHeight w:val="1060"/>
        </w:trPr>
        <w:tc>
          <w:tcPr>
            <w:tcW w:w="5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BBC614" w14:textId="77777777" w:rsidR="00474014" w:rsidRPr="0004269F" w:rsidRDefault="00474014" w:rsidP="00736202">
            <w:pPr>
              <w:jc w:val="center"/>
            </w:pPr>
            <w:r>
              <w:t>2</w:t>
            </w:r>
          </w:p>
        </w:tc>
        <w:tc>
          <w:tcPr>
            <w:tcW w:w="2335" w:type="dxa"/>
            <w:tcBorders>
              <w:top w:val="single" w:sz="4" w:space="0" w:color="auto"/>
              <w:left w:val="nil"/>
              <w:bottom w:val="single" w:sz="4" w:space="0" w:color="auto"/>
              <w:right w:val="single" w:sz="4" w:space="0" w:color="auto"/>
            </w:tcBorders>
            <w:shd w:val="clear" w:color="auto" w:fill="auto"/>
            <w:noWrap/>
            <w:vAlign w:val="center"/>
          </w:tcPr>
          <w:p w14:paraId="76AAB62B" w14:textId="77777777" w:rsidR="00474014" w:rsidRDefault="00474014" w:rsidP="00736202">
            <w:pPr>
              <w:jc w:val="center"/>
              <w:rPr>
                <w:b/>
                <w:bCs/>
              </w:rPr>
            </w:pPr>
            <w:r>
              <w:rPr>
                <w:b/>
                <w:bCs/>
              </w:rPr>
              <w:t xml:space="preserve">Mycie okien techniką alpinistyczną </w:t>
            </w:r>
          </w:p>
        </w:tc>
        <w:tc>
          <w:tcPr>
            <w:tcW w:w="2040" w:type="dxa"/>
            <w:tcBorders>
              <w:top w:val="single" w:sz="4" w:space="0" w:color="auto"/>
              <w:left w:val="nil"/>
              <w:bottom w:val="single" w:sz="4" w:space="0" w:color="auto"/>
              <w:right w:val="single" w:sz="4" w:space="0" w:color="auto"/>
            </w:tcBorders>
            <w:shd w:val="clear" w:color="auto" w:fill="auto"/>
            <w:noWrap/>
            <w:vAlign w:val="center"/>
          </w:tcPr>
          <w:p w14:paraId="0E1B85B6" w14:textId="77777777" w:rsidR="00474014" w:rsidRDefault="00474014" w:rsidP="00736202">
            <w:pPr>
              <w:jc w:val="center"/>
            </w:pPr>
            <w:r>
              <w:t>1 200,00 m</w:t>
            </w:r>
          </w:p>
        </w:tc>
        <w:tc>
          <w:tcPr>
            <w:tcW w:w="1611" w:type="dxa"/>
            <w:tcBorders>
              <w:top w:val="single" w:sz="4" w:space="0" w:color="auto"/>
              <w:left w:val="nil"/>
              <w:bottom w:val="single" w:sz="4" w:space="0" w:color="auto"/>
              <w:right w:val="single" w:sz="4" w:space="0" w:color="auto"/>
            </w:tcBorders>
            <w:shd w:val="clear" w:color="auto" w:fill="auto"/>
            <w:noWrap/>
            <w:vAlign w:val="center"/>
          </w:tcPr>
          <w:p w14:paraId="50E554C8" w14:textId="77777777" w:rsidR="00474014" w:rsidRPr="0004269F" w:rsidRDefault="00474014" w:rsidP="00736202"/>
        </w:tc>
        <w:tc>
          <w:tcPr>
            <w:tcW w:w="2235" w:type="dxa"/>
            <w:tcBorders>
              <w:top w:val="single" w:sz="4" w:space="0" w:color="auto"/>
              <w:left w:val="nil"/>
              <w:bottom w:val="single" w:sz="4" w:space="0" w:color="auto"/>
              <w:right w:val="single" w:sz="4" w:space="0" w:color="auto"/>
            </w:tcBorders>
            <w:shd w:val="clear" w:color="auto" w:fill="auto"/>
            <w:noWrap/>
            <w:vAlign w:val="center"/>
          </w:tcPr>
          <w:p w14:paraId="08F2694E" w14:textId="77777777" w:rsidR="00474014" w:rsidRPr="0004269F" w:rsidRDefault="00474014" w:rsidP="00736202"/>
        </w:tc>
        <w:tc>
          <w:tcPr>
            <w:tcW w:w="1047" w:type="dxa"/>
            <w:tcBorders>
              <w:top w:val="single" w:sz="4" w:space="0" w:color="auto"/>
              <w:left w:val="nil"/>
              <w:bottom w:val="single" w:sz="4" w:space="0" w:color="auto"/>
              <w:right w:val="single" w:sz="4" w:space="0" w:color="auto"/>
            </w:tcBorders>
            <w:shd w:val="clear" w:color="auto" w:fill="auto"/>
            <w:noWrap/>
            <w:vAlign w:val="bottom"/>
          </w:tcPr>
          <w:p w14:paraId="56BE9759" w14:textId="77777777" w:rsidR="00474014" w:rsidRPr="0004269F" w:rsidRDefault="00474014" w:rsidP="00736202"/>
        </w:tc>
        <w:tc>
          <w:tcPr>
            <w:tcW w:w="1826" w:type="dxa"/>
            <w:tcBorders>
              <w:top w:val="single" w:sz="4" w:space="0" w:color="auto"/>
              <w:left w:val="nil"/>
              <w:bottom w:val="single" w:sz="4" w:space="0" w:color="auto"/>
              <w:right w:val="single" w:sz="4" w:space="0" w:color="auto"/>
            </w:tcBorders>
            <w:shd w:val="clear" w:color="auto" w:fill="auto"/>
            <w:noWrap/>
            <w:vAlign w:val="bottom"/>
          </w:tcPr>
          <w:p w14:paraId="68C10C25" w14:textId="77777777" w:rsidR="00474014" w:rsidRPr="0004269F" w:rsidRDefault="00474014" w:rsidP="00736202"/>
        </w:tc>
        <w:tc>
          <w:tcPr>
            <w:tcW w:w="2558" w:type="dxa"/>
            <w:tcBorders>
              <w:top w:val="single" w:sz="4" w:space="0" w:color="auto"/>
              <w:left w:val="nil"/>
              <w:bottom w:val="single" w:sz="4" w:space="0" w:color="auto"/>
              <w:right w:val="single" w:sz="4" w:space="0" w:color="auto"/>
            </w:tcBorders>
            <w:shd w:val="clear" w:color="auto" w:fill="auto"/>
            <w:noWrap/>
            <w:vAlign w:val="bottom"/>
          </w:tcPr>
          <w:p w14:paraId="50FBC6F9" w14:textId="77777777" w:rsidR="00474014" w:rsidRPr="0004269F" w:rsidRDefault="00474014" w:rsidP="00736202"/>
        </w:tc>
      </w:tr>
      <w:tr w:rsidR="00474014" w:rsidRPr="00BF0122" w14:paraId="252728F7" w14:textId="77777777" w:rsidTr="00736202">
        <w:trPr>
          <w:trHeight w:val="1060"/>
        </w:trPr>
        <w:tc>
          <w:tcPr>
            <w:tcW w:w="6574" w:type="dxa"/>
            <w:gridSpan w:val="4"/>
            <w:tcBorders>
              <w:top w:val="single" w:sz="4" w:space="0" w:color="auto"/>
              <w:left w:val="single" w:sz="4" w:space="0" w:color="auto"/>
              <w:bottom w:val="single" w:sz="4" w:space="0" w:color="auto"/>
              <w:right w:val="single" w:sz="4" w:space="0" w:color="auto"/>
            </w:tcBorders>
            <w:shd w:val="clear" w:color="auto" w:fill="C0C0C0"/>
            <w:noWrap/>
            <w:vAlign w:val="center"/>
          </w:tcPr>
          <w:p w14:paraId="22D0E619" w14:textId="77777777" w:rsidR="00474014" w:rsidRDefault="00474014" w:rsidP="00736202">
            <w:pPr>
              <w:jc w:val="right"/>
              <w:rPr>
                <w:b/>
                <w:bCs/>
              </w:rPr>
            </w:pPr>
          </w:p>
          <w:p w14:paraId="4318116B" w14:textId="77777777" w:rsidR="00474014" w:rsidRPr="0004269F" w:rsidRDefault="00474014" w:rsidP="00736202">
            <w:pPr>
              <w:rPr>
                <w:b/>
                <w:bCs/>
              </w:rPr>
            </w:pPr>
            <w:r>
              <w:rPr>
                <w:b/>
                <w:bCs/>
              </w:rPr>
              <w:t xml:space="preserve">CENA OFERTOWA – ŁĄCZNA KWOTA WYNAGRODZENIA ZA WYKONANIE CAŁOŚCI PRZEDMIOTU ZAMÓWIENIA </w:t>
            </w:r>
            <w:r w:rsidRPr="0004269F">
              <w:rPr>
                <w:b/>
                <w:bCs/>
              </w:rPr>
              <w:t xml:space="preserve"> </w:t>
            </w:r>
          </w:p>
          <w:p w14:paraId="0D610287" w14:textId="77777777" w:rsidR="00474014" w:rsidRPr="0004269F" w:rsidRDefault="00474014" w:rsidP="00736202"/>
        </w:tc>
        <w:tc>
          <w:tcPr>
            <w:tcW w:w="2235" w:type="dxa"/>
            <w:tcBorders>
              <w:top w:val="single" w:sz="4" w:space="0" w:color="auto"/>
              <w:left w:val="nil"/>
              <w:bottom w:val="single" w:sz="4" w:space="0" w:color="auto"/>
              <w:right w:val="single" w:sz="4" w:space="0" w:color="auto"/>
            </w:tcBorders>
            <w:shd w:val="clear" w:color="auto" w:fill="C0C0C0"/>
            <w:noWrap/>
            <w:vAlign w:val="center"/>
          </w:tcPr>
          <w:p w14:paraId="5DAAA18D" w14:textId="77777777" w:rsidR="00474014" w:rsidRPr="0004269F" w:rsidRDefault="00474014" w:rsidP="00736202"/>
        </w:tc>
        <w:tc>
          <w:tcPr>
            <w:tcW w:w="1047" w:type="dxa"/>
            <w:tcBorders>
              <w:top w:val="single" w:sz="4" w:space="0" w:color="auto"/>
              <w:left w:val="nil"/>
              <w:bottom w:val="single" w:sz="4" w:space="0" w:color="auto"/>
              <w:right w:val="single" w:sz="4" w:space="0" w:color="auto"/>
              <w:tr2bl w:val="single" w:sz="4" w:space="0" w:color="auto"/>
            </w:tcBorders>
            <w:shd w:val="clear" w:color="auto" w:fill="C0C0C0"/>
            <w:noWrap/>
            <w:vAlign w:val="bottom"/>
          </w:tcPr>
          <w:p w14:paraId="76047403" w14:textId="77777777" w:rsidR="00474014" w:rsidRPr="0004269F" w:rsidRDefault="00474014" w:rsidP="00736202"/>
        </w:tc>
        <w:tc>
          <w:tcPr>
            <w:tcW w:w="1826" w:type="dxa"/>
            <w:tcBorders>
              <w:top w:val="single" w:sz="4" w:space="0" w:color="auto"/>
              <w:left w:val="nil"/>
              <w:bottom w:val="single" w:sz="4" w:space="0" w:color="auto"/>
              <w:right w:val="single" w:sz="4" w:space="0" w:color="auto"/>
            </w:tcBorders>
            <w:shd w:val="clear" w:color="auto" w:fill="C0C0C0"/>
            <w:noWrap/>
            <w:vAlign w:val="bottom"/>
          </w:tcPr>
          <w:p w14:paraId="23E39678" w14:textId="77777777" w:rsidR="00474014" w:rsidRPr="0004269F" w:rsidRDefault="00474014" w:rsidP="00736202"/>
        </w:tc>
        <w:tc>
          <w:tcPr>
            <w:tcW w:w="2558" w:type="dxa"/>
            <w:tcBorders>
              <w:top w:val="single" w:sz="4" w:space="0" w:color="auto"/>
              <w:left w:val="nil"/>
              <w:bottom w:val="single" w:sz="4" w:space="0" w:color="auto"/>
              <w:right w:val="single" w:sz="4" w:space="0" w:color="auto"/>
            </w:tcBorders>
            <w:shd w:val="clear" w:color="auto" w:fill="C0C0C0"/>
            <w:noWrap/>
            <w:vAlign w:val="bottom"/>
          </w:tcPr>
          <w:p w14:paraId="6D104B57" w14:textId="77777777" w:rsidR="00474014" w:rsidRPr="0004269F" w:rsidRDefault="00474014" w:rsidP="00736202"/>
        </w:tc>
      </w:tr>
    </w:tbl>
    <w:p w14:paraId="6A5B55FB" w14:textId="77777777" w:rsidR="00474014" w:rsidRDefault="00474014" w:rsidP="00474014">
      <w:pPr>
        <w:autoSpaceDE w:val="0"/>
        <w:autoSpaceDN w:val="0"/>
        <w:spacing w:before="120" w:after="120"/>
        <w:ind w:left="709"/>
        <w:jc w:val="center"/>
        <w:rPr>
          <w:b/>
          <w:i/>
          <w:color w:val="0000FF"/>
        </w:rPr>
      </w:pPr>
    </w:p>
    <w:p w14:paraId="4CFE7E9C" w14:textId="77777777" w:rsidR="006107C3" w:rsidRDefault="00474014" w:rsidP="00F43597">
      <w:pPr>
        <w:jc w:val="center"/>
      </w:pPr>
      <w:bookmarkStart w:id="0" w:name="_GoBack"/>
      <w:bookmarkEnd w:id="0"/>
      <w:r>
        <w:rPr>
          <w:b/>
          <w:i/>
          <w:color w:val="0000FF"/>
        </w:rPr>
        <w:t>Kwalifikowany podpis elektroniczny, podpis zaufany lub elektroniczny podpis osobisty.</w:t>
      </w:r>
    </w:p>
    <w:sectPr w:rsidR="006107C3" w:rsidSect="0047401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2AEF" w:usb1="4000207B" w:usb2="00000000" w:usb3="00000000" w:csb0="000001FF" w:csb1="00000000"/>
  </w:font>
  <w:font w:name="Arial">
    <w:panose1 w:val="020B0604020202020204"/>
    <w:charset w:val="EE"/>
    <w:family w:val="swiss"/>
    <w:pitch w:val="variable"/>
    <w:sig w:usb0="20002A87" w:usb1="80000000" w:usb2="00000008"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D37DA7"/>
    <w:multiLevelType w:val="hybridMultilevel"/>
    <w:tmpl w:val="A2C2640A"/>
    <w:lvl w:ilvl="0" w:tplc="8F32DA7A">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734"/>
      </w:pPr>
      <w:rPr>
        <w:b w:val="0"/>
        <w:i w:val="0"/>
        <w:strike w:val="0"/>
        <w:dstrike w:val="0"/>
        <w:color w:val="000000"/>
        <w:sz w:val="24"/>
        <w:szCs w:val="24"/>
        <w:u w:val="none" w:color="000000"/>
        <w:bdr w:val="none" w:sz="0" w:space="0" w:color="auto"/>
        <w:shd w:val="clear" w:color="auto" w:fill="auto"/>
        <w:vertAlign w:val="baseline"/>
      </w:rPr>
    </w:lvl>
    <w:lvl w:ilvl="2" w:tplc="5894AD96">
      <w:start w:val="1"/>
      <w:numFmt w:val="bullet"/>
      <w:lvlText w:val="▪"/>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F00A28">
      <w:start w:val="1"/>
      <w:numFmt w:val="bullet"/>
      <w:lvlText w:val="•"/>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10BF00">
      <w:start w:val="1"/>
      <w:numFmt w:val="bullet"/>
      <w:lvlText w:val="o"/>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1E141E">
      <w:start w:val="1"/>
      <w:numFmt w:val="bullet"/>
      <w:lvlText w:val="▪"/>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B06AAE">
      <w:start w:val="1"/>
      <w:numFmt w:val="bullet"/>
      <w:lvlText w:val="•"/>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98981C">
      <w:start w:val="1"/>
      <w:numFmt w:val="bullet"/>
      <w:lvlText w:val="o"/>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6C6E7C">
      <w:start w:val="1"/>
      <w:numFmt w:val="bullet"/>
      <w:lvlText w:val="▪"/>
      <w:lvlJc w:val="left"/>
      <w:pPr>
        <w:ind w:left="6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014"/>
    <w:rsid w:val="00474014"/>
    <w:rsid w:val="00582473"/>
    <w:rsid w:val="00DB5DAC"/>
    <w:rsid w:val="00F435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D9112"/>
  <w15:chartTrackingRefBased/>
  <w15:docId w15:val="{423BA29A-9515-4349-B097-C2E560CBE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74014"/>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p1,List Paragraph2,wypunktowanie,Preambuła,Bullet Number,Body MS Bullet,List Paragraph1,ISCG Numerowanie,L1,Numerowanie,normalny tekst,Akapit z listą BS,Colorful Shading Accent 3,Light List Accent 5,Akapit z listą5,Wypunktowanie"/>
    <w:basedOn w:val="Normalny"/>
    <w:link w:val="AkapitzlistZnak"/>
    <w:uiPriority w:val="34"/>
    <w:qFormat/>
    <w:rsid w:val="00474014"/>
    <w:pPr>
      <w:spacing w:after="200" w:line="276" w:lineRule="auto"/>
      <w:ind w:left="720"/>
      <w:contextualSpacing/>
    </w:pPr>
    <w:rPr>
      <w:rFonts w:ascii="Calibri" w:eastAsia="Calibri" w:hAnsi="Calibri" w:cs="Calibri"/>
      <w:sz w:val="22"/>
      <w:szCs w:val="22"/>
      <w:lang w:eastAsia="en-US"/>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normalny tekst Znak,Akapit z listą BS Znak"/>
    <w:link w:val="Akapitzlist"/>
    <w:uiPriority w:val="34"/>
    <w:qFormat/>
    <w:rsid w:val="00474014"/>
    <w:rPr>
      <w:rFonts w:ascii="Calibri" w:eastAsia="Calibri" w:hAnsi="Calibri" w:cs="Calibri"/>
    </w:rPr>
  </w:style>
  <w:style w:type="paragraph" w:customStyle="1" w:styleId="Styl">
    <w:name w:val="Styl"/>
    <w:rsid w:val="00474014"/>
    <w:pPr>
      <w:widowControl w:val="0"/>
      <w:autoSpaceDE w:val="0"/>
      <w:autoSpaceDN w:val="0"/>
      <w:adjustRightInd w:val="0"/>
      <w:spacing w:after="0" w:line="240" w:lineRule="auto"/>
    </w:pPr>
    <w:rPr>
      <w:rFonts w:ascii="Arial" w:eastAsia="Times New Roman"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D0FBD63DFEC34B9F25279A7EDD0C70" ma:contentTypeVersion="12" ma:contentTypeDescription="Utwórz nowy dokument." ma:contentTypeScope="" ma:versionID="9d13523b76778b23ecba24ce9584e267">
  <xsd:schema xmlns:xsd="http://www.w3.org/2001/XMLSchema" xmlns:xs="http://www.w3.org/2001/XMLSchema" xmlns:p="http://schemas.microsoft.com/office/2006/metadata/properties" xmlns:ns3="c41f9e14-747a-4701-9185-ab88c25f6c27" targetNamespace="http://schemas.microsoft.com/office/2006/metadata/properties" ma:root="true" ma:fieldsID="31be8b9ef54cd7847c87d3f3ac9fc499" ns3:_="">
    <xsd:import namespace="c41f9e14-747a-4701-9185-ab88c25f6c2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_activ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1f9e14-747a-4701-9185-ab88c25f6c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c41f9e14-747a-4701-9185-ab88c25f6c2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C747B-EB03-48B7-85E3-DAA9882FEC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1f9e14-747a-4701-9185-ab88c25f6c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BF6080-0084-4652-B77D-A24B930F7B85}">
  <ds:schemaRefs>
    <ds:schemaRef ds:uri="http://schemas.microsoft.com/sharepoint/v3/contenttype/forms"/>
  </ds:schemaRefs>
</ds:datastoreItem>
</file>

<file path=customXml/itemProps3.xml><?xml version="1.0" encoding="utf-8"?>
<ds:datastoreItem xmlns:ds="http://schemas.openxmlformats.org/officeDocument/2006/customXml" ds:itemID="{F049412F-32AB-4F88-918B-85910E92ED5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41f9e14-747a-4701-9185-ab88c25f6c27"/>
    <ds:schemaRef ds:uri="http://www.w3.org/XML/1998/namespace"/>
    <ds:schemaRef ds:uri="http://purl.org/dc/dcmitype/"/>
  </ds:schemaRefs>
</ds:datastoreItem>
</file>

<file path=customXml/itemProps4.xml><?xml version="1.0" encoding="utf-8"?>
<ds:datastoreItem xmlns:ds="http://schemas.openxmlformats.org/officeDocument/2006/customXml" ds:itemID="{A2167937-1E02-40E1-9420-13213FE67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486</Words>
  <Characters>2921</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Witkowska</dc:creator>
  <cp:keywords/>
  <dc:description/>
  <cp:lastModifiedBy>Edyta Witkowska</cp:lastModifiedBy>
  <cp:revision>2</cp:revision>
  <dcterms:created xsi:type="dcterms:W3CDTF">2025-08-08T06:46:00Z</dcterms:created>
  <dcterms:modified xsi:type="dcterms:W3CDTF">2025-08-08T07:34:00Z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0x010100E2D0FBD63DFEC34B9F25279A7EDD0C70</vt:lpwstr>
  </property>
</Properties>
</file>